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AC" w:rsidRDefault="00F305AC" w:rsidP="004764A3">
      <w:pPr>
        <w:pStyle w:val="Sansinterligne"/>
        <w:rPr>
          <w:b/>
        </w:rPr>
      </w:pPr>
    </w:p>
    <w:p w:rsidR="00CA31A1" w:rsidRDefault="00CA31A1" w:rsidP="004764A3">
      <w:pPr>
        <w:pStyle w:val="Sansinterligne"/>
        <w:rPr>
          <w:b/>
        </w:rPr>
      </w:pPr>
    </w:p>
    <w:p w:rsidR="00CA31A1" w:rsidRPr="001A2129" w:rsidRDefault="00CA31A1" w:rsidP="004764A3">
      <w:pPr>
        <w:pStyle w:val="Sansinterligne"/>
        <w:rPr>
          <w:b/>
        </w:rPr>
      </w:pPr>
      <w:r w:rsidRPr="001A2129">
        <w:rPr>
          <w:b/>
        </w:rPr>
        <w:t>Quels sont les objectifs de l’essai encadré ?</w:t>
      </w:r>
    </w:p>
    <w:p w:rsidR="009B36B4" w:rsidRPr="001A2129" w:rsidRDefault="009B36B4" w:rsidP="009B36B4">
      <w:pPr>
        <w:pStyle w:val="Sansinterligne"/>
        <w:numPr>
          <w:ilvl w:val="0"/>
          <w:numId w:val="10"/>
        </w:numPr>
      </w:pPr>
      <w:r w:rsidRPr="001A2129">
        <w:t xml:space="preserve">Tester la capacité du salarié à reprendre son ancien poste de travail </w:t>
      </w:r>
    </w:p>
    <w:p w:rsidR="009B36B4" w:rsidRPr="001A2129" w:rsidRDefault="009B36B4" w:rsidP="009B36B4">
      <w:pPr>
        <w:pStyle w:val="Sansinterligne"/>
        <w:numPr>
          <w:ilvl w:val="0"/>
          <w:numId w:val="10"/>
        </w:numPr>
      </w:pPr>
      <w:r w:rsidRPr="001A2129">
        <w:t>Tester la capacité du salarié à reprendre avec un aménagement de poste</w:t>
      </w:r>
    </w:p>
    <w:p w:rsidR="00CA31A1" w:rsidRPr="001A2129" w:rsidRDefault="00CA31A1" w:rsidP="00211FEB">
      <w:pPr>
        <w:pStyle w:val="Sansinterligne"/>
        <w:numPr>
          <w:ilvl w:val="0"/>
          <w:numId w:val="10"/>
        </w:numPr>
      </w:pPr>
      <w:r w:rsidRPr="001A2129">
        <w:t>Tester</w:t>
      </w:r>
      <w:r w:rsidR="009B36B4" w:rsidRPr="001A2129">
        <w:t xml:space="preserve"> la capacité</w:t>
      </w:r>
      <w:r w:rsidRPr="001A2129">
        <w:t xml:space="preserve"> </w:t>
      </w:r>
      <w:r w:rsidR="009B36B4" w:rsidRPr="001A2129">
        <w:t xml:space="preserve">du salarié à reprendre sur </w:t>
      </w:r>
      <w:r w:rsidRPr="001A2129">
        <w:t>un nouveau poste de travail</w:t>
      </w:r>
    </w:p>
    <w:p w:rsidR="00211FEB" w:rsidRPr="001A2129" w:rsidRDefault="009B36B4" w:rsidP="00211FEB">
      <w:pPr>
        <w:pStyle w:val="Sansinterligne"/>
        <w:numPr>
          <w:ilvl w:val="0"/>
          <w:numId w:val="10"/>
        </w:numPr>
      </w:pPr>
      <w:r w:rsidRPr="001A2129">
        <w:t>R</w:t>
      </w:r>
      <w:r w:rsidR="00211FEB" w:rsidRPr="001A2129">
        <w:t>echercher des pistes pour un aménagement de poste ou un reclassement professionnel</w:t>
      </w:r>
    </w:p>
    <w:p w:rsidR="00CA31A1" w:rsidRPr="001A2129" w:rsidRDefault="00CA31A1" w:rsidP="004764A3">
      <w:pPr>
        <w:pStyle w:val="Sansinterligne"/>
        <w:rPr>
          <w:b/>
        </w:rPr>
      </w:pPr>
    </w:p>
    <w:p w:rsidR="00211FEB" w:rsidRPr="001A2129" w:rsidRDefault="00211FEB" w:rsidP="004764A3">
      <w:pPr>
        <w:pStyle w:val="Sansinterligne"/>
        <w:rPr>
          <w:b/>
        </w:rPr>
      </w:pPr>
      <w:r w:rsidRPr="001A2129">
        <w:rPr>
          <w:b/>
        </w:rPr>
        <w:t>Quelle est la spécificité de l’essai encadré ?</w:t>
      </w:r>
    </w:p>
    <w:p w:rsidR="00211FEB" w:rsidRPr="001A2129" w:rsidRDefault="00211FEB" w:rsidP="004764A3">
      <w:pPr>
        <w:pStyle w:val="Sansinterligne"/>
      </w:pPr>
      <w:r w:rsidRPr="001A2129">
        <w:t>L’essai encadré permet de tester la compatibilité d’un poste de travail avec les capacités restantes</w:t>
      </w:r>
      <w:r w:rsidR="009B36B4" w:rsidRPr="001A2129">
        <w:t xml:space="preserve"> du salarié concerné</w:t>
      </w:r>
      <w:r w:rsidRPr="001A2129">
        <w:t>.</w:t>
      </w:r>
    </w:p>
    <w:p w:rsidR="00211FEB" w:rsidRPr="001A2129" w:rsidRDefault="00211FEB" w:rsidP="004764A3">
      <w:pPr>
        <w:pStyle w:val="Sansinterligne"/>
      </w:pPr>
    </w:p>
    <w:p w:rsidR="0079288B" w:rsidRPr="001A2129" w:rsidRDefault="0079288B" w:rsidP="004764A3">
      <w:pPr>
        <w:pStyle w:val="Sansinterligne"/>
        <w:rPr>
          <w:b/>
        </w:rPr>
      </w:pPr>
      <w:r w:rsidRPr="001A2129">
        <w:rPr>
          <w:b/>
        </w:rPr>
        <w:t>Qui peut bénéficier de l’essai encadré ?</w:t>
      </w:r>
    </w:p>
    <w:p w:rsidR="00A278A4" w:rsidRPr="001A2129" w:rsidRDefault="00A278A4" w:rsidP="00EF1477">
      <w:pPr>
        <w:pStyle w:val="Sansinterligne"/>
      </w:pPr>
      <w:r w:rsidRPr="001A2129">
        <w:t>Les salariés en arrêt de travail y compris les apprentis</w:t>
      </w:r>
      <w:r w:rsidR="00EF1477" w:rsidRPr="001A2129">
        <w:t xml:space="preserve">, </w:t>
      </w:r>
      <w:r w:rsidRPr="001A2129">
        <w:t xml:space="preserve">intérimaires </w:t>
      </w:r>
      <w:r w:rsidR="00EF1477" w:rsidRPr="001A2129">
        <w:t xml:space="preserve">et les stagiaires salariés </w:t>
      </w:r>
      <w:r w:rsidRPr="001A2129">
        <w:t>en arrêt de travail</w:t>
      </w:r>
      <w:r w:rsidR="00EF1477" w:rsidRPr="001A2129">
        <w:t>.</w:t>
      </w:r>
    </w:p>
    <w:p w:rsidR="00EF1477" w:rsidRPr="001A2129" w:rsidRDefault="00EF1477" w:rsidP="00EF1477">
      <w:pPr>
        <w:pStyle w:val="Sansinterligne"/>
      </w:pPr>
    </w:p>
    <w:p w:rsidR="00EF1477" w:rsidRPr="001A2129" w:rsidRDefault="00EB4B99" w:rsidP="00EF1477">
      <w:pPr>
        <w:pStyle w:val="Sansinterligne"/>
        <w:rPr>
          <w:b/>
        </w:rPr>
      </w:pPr>
      <w:r w:rsidRPr="001A2129">
        <w:rPr>
          <w:b/>
        </w:rPr>
        <w:t xml:space="preserve">A qui demander un essai encadré ? </w:t>
      </w:r>
    </w:p>
    <w:p w:rsidR="00EB4B99" w:rsidRPr="001A2129" w:rsidRDefault="00EB4B99" w:rsidP="00EB4B99">
      <w:pPr>
        <w:pStyle w:val="Sansinterligne"/>
        <w:jc w:val="both"/>
      </w:pPr>
      <w:r w:rsidRPr="001A2129">
        <w:t xml:space="preserve">Tout le monde peut demander un essai encadré mais seul le médecin du travail peut juger de l’opportunité de l’essai et </w:t>
      </w:r>
      <w:r w:rsidR="009B36B4" w:rsidRPr="001A2129">
        <w:t xml:space="preserve">le </w:t>
      </w:r>
      <w:r w:rsidRPr="001A2129">
        <w:t>soumettre à l’acceptation de l’ensemble des parties.</w:t>
      </w:r>
    </w:p>
    <w:p w:rsidR="00EB4B99" w:rsidRPr="001A2129" w:rsidRDefault="00EB4B99" w:rsidP="004764A3">
      <w:pPr>
        <w:pStyle w:val="Sansinterligne"/>
      </w:pPr>
    </w:p>
    <w:p w:rsidR="004764A3" w:rsidRPr="001A2129" w:rsidRDefault="004764A3" w:rsidP="004764A3">
      <w:pPr>
        <w:pStyle w:val="Sansinterligne"/>
        <w:rPr>
          <w:b/>
        </w:rPr>
      </w:pPr>
      <w:r w:rsidRPr="001A2129">
        <w:rPr>
          <w:b/>
        </w:rPr>
        <w:t xml:space="preserve">Quels sont les accords nécessaires à la mise en place </w:t>
      </w:r>
      <w:r w:rsidR="00FB35B2" w:rsidRPr="001A2129">
        <w:rPr>
          <w:b/>
        </w:rPr>
        <w:t>d’un essai encadré</w:t>
      </w:r>
      <w:r w:rsidRPr="001A2129">
        <w:rPr>
          <w:b/>
        </w:rPr>
        <w:t xml:space="preserve"> ? </w:t>
      </w:r>
    </w:p>
    <w:p w:rsidR="003E7525" w:rsidRPr="001A2129" w:rsidRDefault="003E7525" w:rsidP="00DB18FE">
      <w:pPr>
        <w:pStyle w:val="Sansinterligne"/>
        <w:jc w:val="both"/>
      </w:pPr>
      <w:r w:rsidRPr="001A2129">
        <w:t xml:space="preserve">Les parties prenantes citées ci-dessous donnent leur accord à la mise en place d’un essai encadré : </w:t>
      </w:r>
    </w:p>
    <w:p w:rsidR="003E7525" w:rsidRPr="001A2129" w:rsidRDefault="003E7525" w:rsidP="00E550B9">
      <w:pPr>
        <w:pStyle w:val="Sansinterligne"/>
        <w:numPr>
          <w:ilvl w:val="0"/>
          <w:numId w:val="9"/>
        </w:numPr>
        <w:jc w:val="both"/>
      </w:pPr>
      <w:r w:rsidRPr="001A2129">
        <w:t>Salarié</w:t>
      </w:r>
    </w:p>
    <w:p w:rsidR="003E7525" w:rsidRPr="001A2129" w:rsidRDefault="003E7525" w:rsidP="00E550B9">
      <w:pPr>
        <w:pStyle w:val="Sansinterligne"/>
        <w:numPr>
          <w:ilvl w:val="0"/>
          <w:numId w:val="9"/>
        </w:numPr>
        <w:jc w:val="both"/>
      </w:pPr>
      <w:r w:rsidRPr="001A2129">
        <w:t>Employeur</w:t>
      </w:r>
    </w:p>
    <w:p w:rsidR="00E550B9" w:rsidRPr="001A2129" w:rsidRDefault="00E550B9" w:rsidP="00E550B9">
      <w:pPr>
        <w:pStyle w:val="Sansinterligne"/>
        <w:numPr>
          <w:ilvl w:val="0"/>
          <w:numId w:val="9"/>
        </w:numPr>
        <w:jc w:val="both"/>
      </w:pPr>
      <w:r w:rsidRPr="001A2129">
        <w:t>Médecin conseil</w:t>
      </w:r>
    </w:p>
    <w:p w:rsidR="003E7525" w:rsidRPr="001A2129" w:rsidRDefault="003E7525" w:rsidP="00E550B9">
      <w:pPr>
        <w:pStyle w:val="Sansinterligne"/>
        <w:numPr>
          <w:ilvl w:val="0"/>
          <w:numId w:val="9"/>
        </w:numPr>
        <w:jc w:val="both"/>
      </w:pPr>
      <w:r w:rsidRPr="001A2129">
        <w:t>Médecin traitant</w:t>
      </w:r>
    </w:p>
    <w:p w:rsidR="003E7525" w:rsidRPr="001A2129" w:rsidRDefault="003E7525" w:rsidP="00E550B9">
      <w:pPr>
        <w:pStyle w:val="Sansinterligne"/>
        <w:numPr>
          <w:ilvl w:val="0"/>
          <w:numId w:val="9"/>
        </w:numPr>
        <w:jc w:val="both"/>
      </w:pPr>
      <w:r w:rsidRPr="001A2129">
        <w:t>Médecin du travail</w:t>
      </w:r>
    </w:p>
    <w:p w:rsidR="003E7525" w:rsidRPr="001A2129" w:rsidRDefault="003E7525" w:rsidP="00E550B9">
      <w:pPr>
        <w:pStyle w:val="Sansinterligne"/>
        <w:numPr>
          <w:ilvl w:val="0"/>
          <w:numId w:val="9"/>
        </w:numPr>
        <w:jc w:val="both"/>
      </w:pPr>
      <w:r w:rsidRPr="001A2129">
        <w:t>Assistant social d</w:t>
      </w:r>
      <w:r w:rsidR="00EF1477" w:rsidRPr="001A2129">
        <w:t>u service</w:t>
      </w:r>
      <w:r w:rsidRPr="001A2129">
        <w:t xml:space="preserve"> social</w:t>
      </w:r>
    </w:p>
    <w:p w:rsidR="003E7525" w:rsidRPr="001A2129" w:rsidRDefault="003E7525" w:rsidP="00E550B9">
      <w:pPr>
        <w:pStyle w:val="Sansinterligne"/>
        <w:numPr>
          <w:ilvl w:val="0"/>
          <w:numId w:val="9"/>
        </w:numPr>
        <w:jc w:val="both"/>
      </w:pPr>
      <w:r w:rsidRPr="001A2129">
        <w:t>CPAM</w:t>
      </w:r>
      <w:r w:rsidR="009B36B4" w:rsidRPr="001A2129">
        <w:t xml:space="preserve"> </w:t>
      </w:r>
    </w:p>
    <w:p w:rsidR="00211FEB" w:rsidRPr="001A2129" w:rsidRDefault="00211FEB" w:rsidP="00211FEB">
      <w:pPr>
        <w:pStyle w:val="Sansinterligne"/>
        <w:jc w:val="both"/>
        <w:rPr>
          <w:b/>
        </w:rPr>
      </w:pPr>
    </w:p>
    <w:p w:rsidR="00211FEB" w:rsidRPr="001A2129" w:rsidRDefault="00211FEB" w:rsidP="00211FEB">
      <w:pPr>
        <w:pStyle w:val="Sansinterligne"/>
        <w:jc w:val="both"/>
        <w:rPr>
          <w:b/>
        </w:rPr>
      </w:pPr>
      <w:r w:rsidRPr="001A2129">
        <w:rPr>
          <w:b/>
        </w:rPr>
        <w:t>En quoi consiste l’encadrement de l’essai et qui le réalise ?</w:t>
      </w:r>
    </w:p>
    <w:p w:rsidR="00211FEB" w:rsidRPr="001A2129" w:rsidRDefault="00211FEB" w:rsidP="00211FEB">
      <w:pPr>
        <w:pStyle w:val="Sansinterligne"/>
        <w:numPr>
          <w:ilvl w:val="0"/>
          <w:numId w:val="9"/>
        </w:numPr>
        <w:jc w:val="both"/>
      </w:pPr>
      <w:r w:rsidRPr="001A2129">
        <w:t xml:space="preserve">L’essai encadré nécessite une supervision qui doit garantir le bon déroulé de l’essai et en évaluer les résultats conformément aux objectifs fixés. On parle de supervision car il n’est pas nécessaire d’encadrer l’essai sur toute sa durée. Il convient cependant de bien définir le champ d’observation de l’essai, et d’organiser les modalités d’observation comme </w:t>
      </w:r>
      <w:r w:rsidR="009B36B4" w:rsidRPr="001A2129">
        <w:t xml:space="preserve">les modalités </w:t>
      </w:r>
      <w:r w:rsidRPr="001A2129">
        <w:t>d’appréciation des résultats.</w:t>
      </w:r>
    </w:p>
    <w:p w:rsidR="00211FEB" w:rsidRPr="001A2129" w:rsidRDefault="00211FEB" w:rsidP="00211FEB">
      <w:pPr>
        <w:pStyle w:val="Sansinterligne"/>
        <w:numPr>
          <w:ilvl w:val="0"/>
          <w:numId w:val="9"/>
        </w:numPr>
        <w:jc w:val="both"/>
      </w:pPr>
      <w:r w:rsidRPr="001A2129">
        <w:t xml:space="preserve">Le superviseur peut être le médecin du travail ou un membre de l’équipe pluridisciplinaire </w:t>
      </w:r>
      <w:r w:rsidR="009B36B4" w:rsidRPr="001A2129">
        <w:t>en interne (SST)</w:t>
      </w:r>
      <w:r w:rsidRPr="001A2129">
        <w:t>, le Cap emploi ou Comète France en externe.</w:t>
      </w:r>
    </w:p>
    <w:p w:rsidR="00211FEB" w:rsidRPr="001A2129" w:rsidRDefault="00211FEB" w:rsidP="00211FEB">
      <w:pPr>
        <w:pStyle w:val="Sansinterligne"/>
        <w:numPr>
          <w:ilvl w:val="0"/>
          <w:numId w:val="9"/>
        </w:numPr>
        <w:jc w:val="both"/>
        <w:rPr>
          <w:b/>
        </w:rPr>
      </w:pPr>
      <w:r w:rsidRPr="001A2129">
        <w:t xml:space="preserve">Dans tous les cas la mise en œuvre de l’essai prévoit </w:t>
      </w:r>
      <w:r w:rsidRPr="001A2129">
        <w:rPr>
          <w:b/>
        </w:rPr>
        <w:t>un cadrage en amont associant au moins le salarié, le médecin du travail et l’employeur, ainsi qu’un bilan à l’issue de l’essai sur le même format.</w:t>
      </w:r>
    </w:p>
    <w:p w:rsidR="00FB35B2" w:rsidRDefault="00FB35B2" w:rsidP="00DB18FE">
      <w:pPr>
        <w:pStyle w:val="Sansinterligne"/>
        <w:jc w:val="both"/>
      </w:pPr>
    </w:p>
    <w:p w:rsidR="00FB35B2" w:rsidRPr="002D62F4" w:rsidRDefault="00FB35B2" w:rsidP="00FB35B2">
      <w:pPr>
        <w:pStyle w:val="Sansinterligne"/>
        <w:jc w:val="both"/>
        <w:rPr>
          <w:b/>
        </w:rPr>
      </w:pPr>
      <w:r w:rsidRPr="002D62F4">
        <w:rPr>
          <w:b/>
        </w:rPr>
        <w:t>L’essai encadré peut-il être renouvel</w:t>
      </w:r>
      <w:r>
        <w:rPr>
          <w:b/>
        </w:rPr>
        <w:t>é</w:t>
      </w:r>
      <w:r w:rsidRPr="002D62F4">
        <w:rPr>
          <w:b/>
        </w:rPr>
        <w:t> ?</w:t>
      </w:r>
    </w:p>
    <w:p w:rsidR="00E550B9" w:rsidRDefault="00FB35B2" w:rsidP="00FB35B2">
      <w:pPr>
        <w:pStyle w:val="Sansinterligne"/>
        <w:jc w:val="both"/>
      </w:pPr>
      <w:r>
        <w:t xml:space="preserve">La durée de l’essai encadré est de 3 jours en continu ou fractionnables, généralement par demi-journées. </w:t>
      </w:r>
      <w:r w:rsidR="00E550B9">
        <w:t xml:space="preserve">L’essai encadré </w:t>
      </w:r>
      <w:r>
        <w:t>n’est pas renouvelable</w:t>
      </w:r>
      <w:r w:rsidR="00557DAA">
        <w:t xml:space="preserve"> sur le même poste dans les mêmes conditions</w:t>
      </w:r>
      <w:r>
        <w:t xml:space="preserve">. </w:t>
      </w:r>
    </w:p>
    <w:p w:rsidR="00557DAA" w:rsidRDefault="00FB35B2" w:rsidP="00FB35B2">
      <w:pPr>
        <w:pStyle w:val="Sansinterligne"/>
        <w:jc w:val="both"/>
      </w:pPr>
      <w:r>
        <w:t xml:space="preserve">Toutefois, </w:t>
      </w:r>
      <w:r w:rsidR="003E7525">
        <w:t>d’autres</w:t>
      </w:r>
      <w:r>
        <w:t xml:space="preserve"> essais encadrés </w:t>
      </w:r>
      <w:r w:rsidR="00E550B9">
        <w:t xml:space="preserve">peuvent être </w:t>
      </w:r>
      <w:r w:rsidR="00557DAA">
        <w:t>demandés</w:t>
      </w:r>
      <w:r w:rsidR="00E550B9">
        <w:t xml:space="preserve"> pour</w:t>
      </w:r>
      <w:r>
        <w:t xml:space="preserve"> une même personne</w:t>
      </w:r>
      <w:r w:rsidR="00557DAA">
        <w:t>.</w:t>
      </w:r>
    </w:p>
    <w:p w:rsidR="00CB652A" w:rsidRDefault="00CB652A" w:rsidP="00FB35B2">
      <w:pPr>
        <w:pStyle w:val="Sansinterligne"/>
        <w:jc w:val="both"/>
      </w:pPr>
    </w:p>
    <w:p w:rsidR="00CB652A" w:rsidRPr="002D62F4" w:rsidRDefault="00CB652A" w:rsidP="00CB652A">
      <w:pPr>
        <w:pStyle w:val="Sansinterligne"/>
        <w:jc w:val="both"/>
        <w:rPr>
          <w:b/>
        </w:rPr>
      </w:pPr>
      <w:r>
        <w:rPr>
          <w:b/>
        </w:rPr>
        <w:t xml:space="preserve">En cas de fractionnement de l’essai, sur quelle </w:t>
      </w:r>
      <w:r w:rsidRPr="00136A1B">
        <w:rPr>
          <w:b/>
          <w:i/>
        </w:rPr>
        <w:t>période</w:t>
      </w:r>
      <w:r w:rsidR="00136A1B">
        <w:rPr>
          <w:b/>
          <w:i/>
        </w:rPr>
        <w:t xml:space="preserve"> maximale</w:t>
      </w:r>
      <w:r>
        <w:rPr>
          <w:b/>
        </w:rPr>
        <w:t xml:space="preserve"> peut-on étaler celui-ci</w:t>
      </w:r>
      <w:r w:rsidRPr="002D62F4">
        <w:rPr>
          <w:b/>
        </w:rPr>
        <w:t> ?</w:t>
      </w:r>
    </w:p>
    <w:p w:rsidR="00557DAA" w:rsidRDefault="00136A1B" w:rsidP="00CB652A">
      <w:pPr>
        <w:pStyle w:val="Sansinterligne"/>
        <w:jc w:val="both"/>
      </w:pPr>
      <w:r>
        <w:lastRenderedPageBreak/>
        <w:t xml:space="preserve">Il est conseillé d’effectuer l’essai sur une période ramassée, idéalement sur une semaine, ou deux si les circonstances l’exigent. </w:t>
      </w:r>
    </w:p>
    <w:p w:rsidR="00CB652A" w:rsidRDefault="00136A1B" w:rsidP="00CB652A">
      <w:pPr>
        <w:pStyle w:val="Sansinterligne"/>
        <w:jc w:val="both"/>
      </w:pPr>
      <w:r>
        <w:t xml:space="preserve">On préfèrera décaler la période de l’essai pour que toutes les conditions de mise en situation soient optimales, plutôt que d’étaler la période de l’essai. </w:t>
      </w:r>
    </w:p>
    <w:p w:rsidR="00CB652A" w:rsidRDefault="00CB652A" w:rsidP="00FB35B2">
      <w:pPr>
        <w:pStyle w:val="Sansinterligne"/>
        <w:jc w:val="both"/>
        <w:rPr>
          <w:b/>
        </w:rPr>
      </w:pPr>
    </w:p>
    <w:p w:rsidR="00211FEB" w:rsidRDefault="00211FEB" w:rsidP="00211FEB">
      <w:pPr>
        <w:pStyle w:val="Sansinterligne"/>
        <w:jc w:val="both"/>
        <w:rPr>
          <w:b/>
        </w:rPr>
      </w:pPr>
      <w:r w:rsidRPr="00CB652A">
        <w:rPr>
          <w:b/>
        </w:rPr>
        <w:t xml:space="preserve">L’essai encadré peut-il être mobilisé pour une découverte de métier ou </w:t>
      </w:r>
      <w:r>
        <w:rPr>
          <w:b/>
        </w:rPr>
        <w:t xml:space="preserve">de </w:t>
      </w:r>
      <w:r w:rsidRPr="00CB652A">
        <w:rPr>
          <w:b/>
        </w:rPr>
        <w:t>secteur d’activité ?</w:t>
      </w:r>
    </w:p>
    <w:p w:rsidR="00211FEB" w:rsidRDefault="00211FEB" w:rsidP="00211FEB">
      <w:pPr>
        <w:pStyle w:val="Sansinterligne"/>
        <w:jc w:val="both"/>
      </w:pPr>
      <w:r>
        <w:t>L’essai encadré n’a pas pour vocation la découverte de métier.</w:t>
      </w:r>
      <w:r w:rsidRPr="00CA31A1">
        <w:t xml:space="preserve"> </w:t>
      </w:r>
      <w:r>
        <w:t>On lui préfèrera en ce cas la période de mise en situation en milieu professionnel (PMSMP).</w:t>
      </w:r>
    </w:p>
    <w:p w:rsidR="00211FEB" w:rsidRDefault="00211FEB" w:rsidP="00211FEB">
      <w:pPr>
        <w:pStyle w:val="Sansinterligne"/>
      </w:pPr>
    </w:p>
    <w:p w:rsidR="0005679F" w:rsidRPr="00CD6377" w:rsidRDefault="00024C74" w:rsidP="00DB18FE">
      <w:pPr>
        <w:pStyle w:val="Sansinterligne"/>
        <w:jc w:val="both"/>
        <w:rPr>
          <w:b/>
        </w:rPr>
      </w:pPr>
      <w:r>
        <w:rPr>
          <w:b/>
        </w:rPr>
        <w:t>Dans quelles conditions un essai encadré peut-il être réalisé dans une autre entreprise</w:t>
      </w:r>
      <w:r w:rsidR="0005679F" w:rsidRPr="00CD6377">
        <w:rPr>
          <w:b/>
        </w:rPr>
        <w:t> ?</w:t>
      </w:r>
    </w:p>
    <w:p w:rsidR="00CB652A" w:rsidRDefault="00DB18FE" w:rsidP="00DB18FE">
      <w:pPr>
        <w:pStyle w:val="Sansinterligne"/>
        <w:jc w:val="both"/>
      </w:pPr>
      <w:r>
        <w:t>L’essai encadré peut avoir lieu d</w:t>
      </w:r>
      <w:r w:rsidR="00CD6377">
        <w:t xml:space="preserve">ans </w:t>
      </w:r>
      <w:r w:rsidR="00024C74">
        <w:t xml:space="preserve">une autre entreprise si le projet de reclassement le justifie – le poste à tester </w:t>
      </w:r>
      <w:r w:rsidR="00024C74" w:rsidRPr="001A2129">
        <w:t>n’exist</w:t>
      </w:r>
      <w:r w:rsidR="009B36B4" w:rsidRPr="001A2129">
        <w:t>ant</w:t>
      </w:r>
      <w:r w:rsidR="00024C74" w:rsidRPr="001A2129">
        <w:t xml:space="preserve"> pas dans</w:t>
      </w:r>
      <w:r w:rsidR="00024C74">
        <w:t xml:space="preserve"> l’entreprise d’origine – et si l’interconnaissance des acteurs le permet</w:t>
      </w:r>
      <w:r w:rsidR="00CB652A">
        <w:t xml:space="preserve">. </w:t>
      </w:r>
    </w:p>
    <w:p w:rsidR="0005679F" w:rsidRDefault="00024C74" w:rsidP="00DB18FE">
      <w:pPr>
        <w:pStyle w:val="Sansinterligne"/>
        <w:jc w:val="both"/>
      </w:pPr>
      <w:r>
        <w:t>C’est le médecin du travail de l’établissement ou de l’entreprise d’accueil qui valide la mise en place de l’essai</w:t>
      </w:r>
      <w:r w:rsidR="00CB652A">
        <w:t>, en lien avec le collègue de l’établissement ou de l’entreprise d’origine.</w:t>
      </w:r>
    </w:p>
    <w:p w:rsidR="009C4F35" w:rsidRDefault="009C4F35" w:rsidP="009C4F35">
      <w:pPr>
        <w:pStyle w:val="Sansinterligne"/>
        <w:jc w:val="both"/>
        <w:rPr>
          <w:b/>
        </w:rPr>
      </w:pPr>
    </w:p>
    <w:p w:rsidR="004E61E7" w:rsidRPr="009C4F35" w:rsidRDefault="004E61E7" w:rsidP="00DB18FE">
      <w:pPr>
        <w:pStyle w:val="Sansinterligne"/>
        <w:jc w:val="both"/>
      </w:pPr>
      <w:r w:rsidRPr="00CD6377">
        <w:rPr>
          <w:b/>
        </w:rPr>
        <w:t>En cas d’accident du travail, qui déclare l’AT ?</w:t>
      </w:r>
    </w:p>
    <w:p w:rsidR="00CD6377" w:rsidRDefault="00CD6377" w:rsidP="00DB18FE">
      <w:pPr>
        <w:pStyle w:val="Sansinterligne"/>
        <w:jc w:val="both"/>
      </w:pPr>
      <w:r>
        <w:t>C’est l’entreprise d’accueil qui rédige la déclaration d’accident du travail, en aucun cas l’opérateur externe (Cap emploi, Comète France, …) ayant accompagné le projet d’essai encadré.</w:t>
      </w:r>
    </w:p>
    <w:p w:rsidR="00136A1B" w:rsidRDefault="00CD6377" w:rsidP="00FB35B2">
      <w:pPr>
        <w:pStyle w:val="Sansinterligne"/>
        <w:jc w:val="both"/>
      </w:pPr>
      <w:r>
        <w:t>L’entreprise d’accueil précisera sur la déclaration le statut de « stagiaire de la formation professionnelle » et le code risque 85.3HA</w:t>
      </w:r>
      <w:r w:rsidR="007662C7">
        <w:t>.</w:t>
      </w:r>
    </w:p>
    <w:p w:rsidR="007662C7" w:rsidRDefault="007662C7" w:rsidP="00FB35B2">
      <w:pPr>
        <w:pStyle w:val="Sansinterligne"/>
        <w:jc w:val="both"/>
      </w:pPr>
      <w:r>
        <w:t>Cela concerne également les accidents de trajet.</w:t>
      </w:r>
    </w:p>
    <w:p w:rsidR="00B35273" w:rsidRDefault="00B35273" w:rsidP="00FB35B2">
      <w:pPr>
        <w:pStyle w:val="Sansinterligne"/>
        <w:jc w:val="both"/>
      </w:pPr>
    </w:p>
    <w:p w:rsidR="00FB35B2" w:rsidRPr="002D62F4" w:rsidRDefault="00FB35B2" w:rsidP="00FB35B2">
      <w:pPr>
        <w:pStyle w:val="Sansinterligne"/>
        <w:jc w:val="both"/>
        <w:rPr>
          <w:b/>
        </w:rPr>
      </w:pPr>
      <w:r w:rsidRPr="002D62F4">
        <w:rPr>
          <w:b/>
        </w:rPr>
        <w:t xml:space="preserve">L’essai encadré est-il réservé aux salariés </w:t>
      </w:r>
      <w:r w:rsidR="00067F8D">
        <w:rPr>
          <w:b/>
        </w:rPr>
        <w:t>reconnus travailleurs handicapés</w:t>
      </w:r>
      <w:r w:rsidRPr="002D62F4">
        <w:rPr>
          <w:b/>
        </w:rPr>
        <w:t> ?</w:t>
      </w:r>
    </w:p>
    <w:p w:rsidR="00FB35B2" w:rsidRDefault="00FB35B2" w:rsidP="00FB35B2">
      <w:pPr>
        <w:pStyle w:val="Sansinterligne"/>
        <w:jc w:val="both"/>
      </w:pPr>
      <w:r>
        <w:t>L’essai encadré s’adresse à un salarié titulaire d’un contrat de travail</w:t>
      </w:r>
      <w:r w:rsidR="007662C7">
        <w:t xml:space="preserve">, </w:t>
      </w:r>
      <w:r>
        <w:t>titulaire ou non d’un titre de bénéficiaire de l’obligation d’emploi (RQTH, pension d’invalidité, bénéficiaire d’une rente AT/MP, …)</w:t>
      </w:r>
    </w:p>
    <w:p w:rsidR="00136A1B" w:rsidRDefault="00136A1B" w:rsidP="00FB35B2">
      <w:pPr>
        <w:pStyle w:val="Sansinterligne"/>
        <w:jc w:val="both"/>
      </w:pPr>
    </w:p>
    <w:p w:rsidR="00136A1B" w:rsidRPr="00CD6377" w:rsidRDefault="00136A1B" w:rsidP="00136A1B">
      <w:pPr>
        <w:pStyle w:val="Sansinterligne"/>
        <w:jc w:val="both"/>
        <w:rPr>
          <w:b/>
        </w:rPr>
      </w:pPr>
      <w:r>
        <w:rPr>
          <w:b/>
        </w:rPr>
        <w:t>Peut-on réaliser un essai encadré en préalable d’un recrutement</w:t>
      </w:r>
      <w:r w:rsidRPr="00CD6377">
        <w:rPr>
          <w:b/>
        </w:rPr>
        <w:t> ?</w:t>
      </w:r>
    </w:p>
    <w:p w:rsidR="00136A1B" w:rsidRDefault="00067F8D" w:rsidP="00136A1B">
      <w:pPr>
        <w:pStyle w:val="Sansinterligne"/>
        <w:jc w:val="both"/>
      </w:pPr>
      <w:r>
        <w:t xml:space="preserve">Il n’est pas </w:t>
      </w:r>
      <w:r w:rsidR="007662C7">
        <w:t>possible</w:t>
      </w:r>
      <w:r>
        <w:t xml:space="preserve"> d’utiliser un essai encadré préalablement à un recrutement</w:t>
      </w:r>
      <w:r w:rsidR="007662C7">
        <w:t>. L’essai encadré n’est pas un outil de validation d’une embauche</w:t>
      </w:r>
      <w:r>
        <w:t>.</w:t>
      </w:r>
    </w:p>
    <w:p w:rsidR="007662C7" w:rsidRDefault="007662C7" w:rsidP="00FB35B2">
      <w:pPr>
        <w:pStyle w:val="Sansinterligne"/>
        <w:jc w:val="both"/>
      </w:pPr>
    </w:p>
    <w:p w:rsidR="00CD6377" w:rsidRDefault="002024D5" w:rsidP="00DB18FE">
      <w:pPr>
        <w:pStyle w:val="Sansinterligne"/>
        <w:jc w:val="both"/>
        <w:rPr>
          <w:b/>
        </w:rPr>
      </w:pPr>
      <w:r w:rsidRPr="002A5D9D">
        <w:rPr>
          <w:b/>
        </w:rPr>
        <w:t>Qui est destinataire de</w:t>
      </w:r>
      <w:r w:rsidR="002A5D9D" w:rsidRPr="002A5D9D">
        <w:rPr>
          <w:b/>
        </w:rPr>
        <w:t xml:space="preserve"> la fiche projet </w:t>
      </w:r>
      <w:r w:rsidR="00307FAB">
        <w:rPr>
          <w:b/>
        </w:rPr>
        <w:t xml:space="preserve">et du bilan </w:t>
      </w:r>
      <w:r w:rsidR="002A5D9D" w:rsidRPr="002A5D9D">
        <w:rPr>
          <w:b/>
        </w:rPr>
        <w:t>de l’essai encadré</w:t>
      </w:r>
      <w:r w:rsidR="002A5D9D">
        <w:rPr>
          <w:b/>
        </w:rPr>
        <w:t> ?</w:t>
      </w:r>
    </w:p>
    <w:p w:rsidR="00CD412C" w:rsidRDefault="00CD412C" w:rsidP="002A5D9D">
      <w:pPr>
        <w:pStyle w:val="Sansinterligne"/>
        <w:jc w:val="both"/>
      </w:pPr>
      <w:r>
        <w:t xml:space="preserve">La fiche projet </w:t>
      </w:r>
      <w:r w:rsidR="00EE1323">
        <w:t xml:space="preserve">de l’essai encadré </w:t>
      </w:r>
      <w:r w:rsidR="00307FAB">
        <w:t xml:space="preserve">ainsi que le bilan sont à </w:t>
      </w:r>
      <w:r>
        <w:t>destination de</w:t>
      </w:r>
      <w:r w:rsidR="00307FAB">
        <w:t>s signataires du projet c’est à dire :</w:t>
      </w:r>
    </w:p>
    <w:p w:rsidR="002A5D9D" w:rsidRDefault="002A5D9D" w:rsidP="00B14882">
      <w:pPr>
        <w:pStyle w:val="Sansinterligne"/>
        <w:numPr>
          <w:ilvl w:val="0"/>
          <w:numId w:val="13"/>
        </w:numPr>
        <w:jc w:val="both"/>
      </w:pPr>
      <w:r>
        <w:t>L’employeur</w:t>
      </w:r>
    </w:p>
    <w:p w:rsidR="002A5D9D" w:rsidRDefault="00307FAB" w:rsidP="00B14882">
      <w:pPr>
        <w:pStyle w:val="Sansinterligne"/>
        <w:numPr>
          <w:ilvl w:val="0"/>
          <w:numId w:val="13"/>
        </w:numPr>
        <w:jc w:val="both"/>
      </w:pPr>
      <w:r>
        <w:t>Le s</w:t>
      </w:r>
      <w:r w:rsidR="002A5D9D">
        <w:t>alarié</w:t>
      </w:r>
    </w:p>
    <w:p w:rsidR="002A5D9D" w:rsidRDefault="00307FAB" w:rsidP="00B14882">
      <w:pPr>
        <w:pStyle w:val="Sansinterligne"/>
        <w:numPr>
          <w:ilvl w:val="0"/>
          <w:numId w:val="13"/>
        </w:numPr>
        <w:jc w:val="both"/>
      </w:pPr>
      <w:r>
        <w:t>Le m</w:t>
      </w:r>
      <w:r w:rsidR="002A5D9D">
        <w:t>édecin du travail</w:t>
      </w:r>
    </w:p>
    <w:p w:rsidR="002A5D9D" w:rsidRDefault="00307FAB" w:rsidP="00B14882">
      <w:pPr>
        <w:pStyle w:val="Sansinterligne"/>
        <w:numPr>
          <w:ilvl w:val="0"/>
          <w:numId w:val="13"/>
        </w:numPr>
        <w:jc w:val="both"/>
      </w:pPr>
      <w:r>
        <w:t>Le m</w:t>
      </w:r>
      <w:r w:rsidR="002A5D9D">
        <w:t>édecin traitant</w:t>
      </w:r>
    </w:p>
    <w:p w:rsidR="00EE1323" w:rsidRDefault="00307FAB" w:rsidP="00EE1323">
      <w:pPr>
        <w:pStyle w:val="Sansinterligne"/>
        <w:numPr>
          <w:ilvl w:val="0"/>
          <w:numId w:val="13"/>
        </w:numPr>
        <w:jc w:val="both"/>
      </w:pPr>
      <w:r>
        <w:t>Le s</w:t>
      </w:r>
      <w:r w:rsidR="002A5D9D">
        <w:t>uperviseur</w:t>
      </w:r>
    </w:p>
    <w:p w:rsidR="00EE1323" w:rsidRDefault="00EE1323" w:rsidP="00EE1323">
      <w:pPr>
        <w:pStyle w:val="Sansinterligne"/>
        <w:numPr>
          <w:ilvl w:val="0"/>
          <w:numId w:val="13"/>
        </w:numPr>
        <w:jc w:val="both"/>
      </w:pPr>
      <w:r>
        <w:t>L</w:t>
      </w:r>
      <w:r w:rsidR="00CD412C">
        <w:t xml:space="preserve">’assistante sociale en charge du dossier </w:t>
      </w:r>
    </w:p>
    <w:p w:rsidR="00144BB0" w:rsidRDefault="00EE1323" w:rsidP="00EE1323">
      <w:pPr>
        <w:pStyle w:val="Sansinterligne"/>
        <w:numPr>
          <w:ilvl w:val="0"/>
          <w:numId w:val="13"/>
        </w:numPr>
        <w:jc w:val="both"/>
      </w:pPr>
      <w:r>
        <w:t>L</w:t>
      </w:r>
      <w:r w:rsidR="00144BB0">
        <w:t xml:space="preserve">’opérateur externe </w:t>
      </w:r>
    </w:p>
    <w:p w:rsidR="00307FAB" w:rsidRPr="00A34102" w:rsidRDefault="00307FAB" w:rsidP="00EE1323">
      <w:pPr>
        <w:pStyle w:val="Sansinterligne"/>
        <w:numPr>
          <w:ilvl w:val="0"/>
          <w:numId w:val="13"/>
        </w:numPr>
        <w:jc w:val="both"/>
        <w:rPr>
          <w:i/>
        </w:rPr>
      </w:pPr>
      <w:r>
        <w:t xml:space="preserve">La </w:t>
      </w:r>
      <w:proofErr w:type="spellStart"/>
      <w:r>
        <w:t>Cpam</w:t>
      </w:r>
      <w:proofErr w:type="spellEnd"/>
      <w:r>
        <w:t xml:space="preserve"> qui a assuré la couverture</w:t>
      </w:r>
      <w:r w:rsidR="009B36B4">
        <w:t xml:space="preserve"> </w:t>
      </w:r>
      <w:r w:rsidR="009B36B4" w:rsidRPr="001A2129">
        <w:t>de l’essai</w:t>
      </w:r>
      <w:r w:rsidR="00A34102" w:rsidRPr="001A2129">
        <w:t xml:space="preserve"> : </w:t>
      </w:r>
      <w:r w:rsidRPr="001A2129">
        <w:t>dans le</w:t>
      </w:r>
      <w:r>
        <w:t xml:space="preserve"> cadre du </w:t>
      </w:r>
      <w:r w:rsidRPr="00A34102">
        <w:t>suivi à 3 mois de l’essai encadré</w:t>
      </w:r>
    </w:p>
    <w:p w:rsidR="00EE1323" w:rsidRPr="00EE1323" w:rsidRDefault="00EE1323" w:rsidP="00307FAB">
      <w:pPr>
        <w:pStyle w:val="Sansinterligne"/>
        <w:jc w:val="both"/>
      </w:pPr>
      <w:r>
        <w:t xml:space="preserve"> </w:t>
      </w:r>
    </w:p>
    <w:sectPr w:rsidR="00EE1323" w:rsidRPr="00EE1323" w:rsidSect="00DB18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C3" w:rsidRDefault="00655FC3" w:rsidP="00247E6F">
      <w:pPr>
        <w:spacing w:after="0" w:line="240" w:lineRule="auto"/>
      </w:pPr>
      <w:r>
        <w:separator/>
      </w:r>
    </w:p>
  </w:endnote>
  <w:endnote w:type="continuationSeparator" w:id="0">
    <w:p w:rsidR="00655FC3" w:rsidRDefault="00655FC3" w:rsidP="0024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79" w:rsidRDefault="00225D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A1" w:rsidRPr="00CA31A1" w:rsidRDefault="00CA31A1">
    <w:pPr>
      <w:pStyle w:val="Pieddepage"/>
      <w:rPr>
        <w:i/>
        <w:sz w:val="20"/>
        <w:szCs w:val="20"/>
      </w:rPr>
    </w:pPr>
    <w:r w:rsidRPr="00CA31A1">
      <w:rPr>
        <w:i/>
        <w:sz w:val="20"/>
        <w:szCs w:val="20"/>
      </w:rPr>
      <w:t>Version</w:t>
    </w:r>
    <w:r w:rsidR="00225D79">
      <w:rPr>
        <w:i/>
        <w:sz w:val="20"/>
        <w:szCs w:val="20"/>
      </w:rPr>
      <w:t xml:space="preserve"> finale </w:t>
    </w:r>
    <w:r w:rsidR="00225D79">
      <w:rPr>
        <w:i/>
        <w:sz w:val="20"/>
        <w:szCs w:val="20"/>
      </w:rPr>
      <w:t>-</w:t>
    </w:r>
    <w:bookmarkStart w:id="0" w:name="_GoBack"/>
    <w:bookmarkEnd w:id="0"/>
    <w:r w:rsidR="00225D79">
      <w:rPr>
        <w:i/>
        <w:sz w:val="20"/>
        <w:szCs w:val="20"/>
      </w:rPr>
      <w:t xml:space="preserve"> 19 mars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79" w:rsidRDefault="00225D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C3" w:rsidRDefault="00655FC3" w:rsidP="00247E6F">
      <w:pPr>
        <w:spacing w:after="0" w:line="240" w:lineRule="auto"/>
      </w:pPr>
      <w:r>
        <w:separator/>
      </w:r>
    </w:p>
  </w:footnote>
  <w:footnote w:type="continuationSeparator" w:id="0">
    <w:p w:rsidR="00655FC3" w:rsidRDefault="00655FC3" w:rsidP="0024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79" w:rsidRDefault="00225D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35" w:rsidRDefault="00247E6F" w:rsidP="00FB35B2">
    <w:pPr>
      <w:spacing w:after="0" w:line="315" w:lineRule="atLeast"/>
      <w:jc w:val="center"/>
      <w:textAlignment w:val="center"/>
      <w:rPr>
        <w:rFonts w:ascii="Arial" w:eastAsia="Times New Roman" w:hAnsi="Arial" w:cs="Arial"/>
        <w:color w:val="96BD0D"/>
        <w:kern w:val="36"/>
        <w:sz w:val="48"/>
        <w:szCs w:val="53"/>
        <w:lang w:eastAsia="fr-FR"/>
      </w:rPr>
    </w:pPr>
    <w:r>
      <w:rPr>
        <w:noProof/>
        <w:lang w:eastAsia="fr-FR"/>
      </w:rPr>
      <w:drawing>
        <wp:anchor distT="0" distB="0" distL="114300" distR="114300" simplePos="0" relativeHeight="251658240" behindDoc="0" locked="0" layoutInCell="1" allowOverlap="1" wp14:anchorId="780371B0">
          <wp:simplePos x="0" y="0"/>
          <wp:positionH relativeFrom="column">
            <wp:posOffset>-543560</wp:posOffset>
          </wp:positionH>
          <wp:positionV relativeFrom="paragraph">
            <wp:posOffset>-278130</wp:posOffset>
          </wp:positionV>
          <wp:extent cx="1638710" cy="762000"/>
          <wp:effectExtent l="0" t="0" r="0" b="0"/>
          <wp:wrapNone/>
          <wp:docPr id="14" name="Image 14" descr="Prith Pays-de-la-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th Pays-de-la-L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710" cy="762000"/>
                  </a:xfrm>
                  <a:prstGeom prst="rect">
                    <a:avLst/>
                  </a:prstGeom>
                  <a:noFill/>
                  <a:ln>
                    <a:noFill/>
                  </a:ln>
                </pic:spPr>
              </pic:pic>
            </a:graphicData>
          </a:graphic>
        </wp:anchor>
      </w:drawing>
    </w:r>
    <w:r w:rsidRPr="00247E6F">
      <w:rPr>
        <w:rFonts w:ascii="Arial" w:eastAsia="Times New Roman" w:hAnsi="Arial" w:cs="Arial"/>
        <w:color w:val="96BD0D"/>
        <w:kern w:val="36"/>
        <w:sz w:val="48"/>
        <w:szCs w:val="53"/>
        <w:lang w:eastAsia="fr-FR"/>
      </w:rPr>
      <w:t>QUESTION-REPONSE</w:t>
    </w:r>
  </w:p>
  <w:p w:rsidR="006D7435" w:rsidRDefault="003D5AFB" w:rsidP="00FB35B2">
    <w:pPr>
      <w:spacing w:after="0" w:line="315" w:lineRule="atLeast"/>
      <w:jc w:val="center"/>
      <w:textAlignment w:val="center"/>
      <w:rPr>
        <w:rFonts w:ascii="Arial" w:eastAsia="Times New Roman" w:hAnsi="Arial" w:cs="Arial"/>
        <w:color w:val="96BD0D"/>
        <w:kern w:val="36"/>
        <w:sz w:val="48"/>
        <w:szCs w:val="53"/>
        <w:lang w:eastAsia="fr-FR"/>
      </w:rPr>
    </w:pPr>
    <w:r>
      <w:rPr>
        <w:rFonts w:ascii="Arial" w:eastAsia="Times New Roman" w:hAnsi="Arial" w:cs="Arial"/>
        <w:color w:val="96BD0D"/>
        <w:kern w:val="36"/>
        <w:sz w:val="48"/>
        <w:szCs w:val="53"/>
        <w:lang w:eastAsia="fr-FR"/>
      </w:rPr>
      <w:t>Essai encadré</w:t>
    </w:r>
  </w:p>
  <w:p w:rsidR="00247E6F" w:rsidRDefault="00247E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79" w:rsidRDefault="00225D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67A"/>
    <w:multiLevelType w:val="hybridMultilevel"/>
    <w:tmpl w:val="2B608470"/>
    <w:lvl w:ilvl="0" w:tplc="392EEF08">
      <w:start w:val="1"/>
      <w:numFmt w:val="bullet"/>
      <w:lvlText w:val=""/>
      <w:lvlJc w:val="left"/>
      <w:pPr>
        <w:ind w:left="720" w:hanging="360"/>
      </w:pPr>
      <w:rPr>
        <w:rFonts w:ascii="Symbol" w:hAnsi="Symbol" w:hint="default"/>
        <w:color w:val="A6CE3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C5327"/>
    <w:multiLevelType w:val="hybridMultilevel"/>
    <w:tmpl w:val="362A5342"/>
    <w:lvl w:ilvl="0" w:tplc="0D7ED7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510B66"/>
    <w:multiLevelType w:val="hybridMultilevel"/>
    <w:tmpl w:val="A1E2EE04"/>
    <w:lvl w:ilvl="0" w:tplc="040C0001">
      <w:start w:val="1"/>
      <w:numFmt w:val="bullet"/>
      <w:lvlText w:val=""/>
      <w:lvlJc w:val="left"/>
      <w:pPr>
        <w:tabs>
          <w:tab w:val="num" w:pos="720"/>
        </w:tabs>
        <w:ind w:left="720" w:hanging="360"/>
      </w:pPr>
      <w:rPr>
        <w:rFonts w:ascii="Symbol" w:hAnsi="Symbol" w:hint="default"/>
      </w:rPr>
    </w:lvl>
    <w:lvl w:ilvl="1" w:tplc="3EF24B0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97866"/>
    <w:multiLevelType w:val="hybridMultilevel"/>
    <w:tmpl w:val="68F05E80"/>
    <w:lvl w:ilvl="0" w:tplc="392EEF08">
      <w:start w:val="1"/>
      <w:numFmt w:val="bullet"/>
      <w:lvlText w:val=""/>
      <w:lvlJc w:val="left"/>
      <w:pPr>
        <w:ind w:left="720" w:hanging="360"/>
      </w:pPr>
      <w:rPr>
        <w:rFonts w:ascii="Symbol" w:hAnsi="Symbol" w:hint="default"/>
        <w:color w:val="A6CE3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012901"/>
    <w:multiLevelType w:val="multilevel"/>
    <w:tmpl w:val="A68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B33F5"/>
    <w:multiLevelType w:val="hybridMultilevel"/>
    <w:tmpl w:val="00A89276"/>
    <w:lvl w:ilvl="0" w:tplc="392EEF08">
      <w:start w:val="1"/>
      <w:numFmt w:val="bullet"/>
      <w:lvlText w:val=""/>
      <w:lvlJc w:val="left"/>
      <w:pPr>
        <w:ind w:left="720" w:hanging="360"/>
      </w:pPr>
      <w:rPr>
        <w:rFonts w:ascii="Symbol" w:hAnsi="Symbol" w:hint="default"/>
        <w:color w:val="A6CE3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7A615E"/>
    <w:multiLevelType w:val="multilevel"/>
    <w:tmpl w:val="6254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720F2"/>
    <w:multiLevelType w:val="hybridMultilevel"/>
    <w:tmpl w:val="299CC48C"/>
    <w:lvl w:ilvl="0" w:tplc="DCB469F4">
      <w:start w:val="1"/>
      <w:numFmt w:val="bullet"/>
      <w:lvlText w:val="•"/>
      <w:lvlJc w:val="left"/>
      <w:pPr>
        <w:tabs>
          <w:tab w:val="num" w:pos="720"/>
        </w:tabs>
        <w:ind w:left="720" w:hanging="360"/>
      </w:pPr>
      <w:rPr>
        <w:rFonts w:ascii="Times New Roman" w:hAnsi="Times New Roman" w:hint="default"/>
      </w:rPr>
    </w:lvl>
    <w:lvl w:ilvl="1" w:tplc="30382944" w:tentative="1">
      <w:start w:val="1"/>
      <w:numFmt w:val="bullet"/>
      <w:lvlText w:val="•"/>
      <w:lvlJc w:val="left"/>
      <w:pPr>
        <w:tabs>
          <w:tab w:val="num" w:pos="1440"/>
        </w:tabs>
        <w:ind w:left="1440" w:hanging="360"/>
      </w:pPr>
      <w:rPr>
        <w:rFonts w:ascii="Times New Roman" w:hAnsi="Times New Roman" w:hint="default"/>
      </w:rPr>
    </w:lvl>
    <w:lvl w:ilvl="2" w:tplc="7792AE54" w:tentative="1">
      <w:start w:val="1"/>
      <w:numFmt w:val="bullet"/>
      <w:lvlText w:val="•"/>
      <w:lvlJc w:val="left"/>
      <w:pPr>
        <w:tabs>
          <w:tab w:val="num" w:pos="2160"/>
        </w:tabs>
        <w:ind w:left="2160" w:hanging="360"/>
      </w:pPr>
      <w:rPr>
        <w:rFonts w:ascii="Times New Roman" w:hAnsi="Times New Roman" w:hint="default"/>
      </w:rPr>
    </w:lvl>
    <w:lvl w:ilvl="3" w:tplc="63869356" w:tentative="1">
      <w:start w:val="1"/>
      <w:numFmt w:val="bullet"/>
      <w:lvlText w:val="•"/>
      <w:lvlJc w:val="left"/>
      <w:pPr>
        <w:tabs>
          <w:tab w:val="num" w:pos="2880"/>
        </w:tabs>
        <w:ind w:left="2880" w:hanging="360"/>
      </w:pPr>
      <w:rPr>
        <w:rFonts w:ascii="Times New Roman" w:hAnsi="Times New Roman" w:hint="default"/>
      </w:rPr>
    </w:lvl>
    <w:lvl w:ilvl="4" w:tplc="CF882D92" w:tentative="1">
      <w:start w:val="1"/>
      <w:numFmt w:val="bullet"/>
      <w:lvlText w:val="•"/>
      <w:lvlJc w:val="left"/>
      <w:pPr>
        <w:tabs>
          <w:tab w:val="num" w:pos="3600"/>
        </w:tabs>
        <w:ind w:left="3600" w:hanging="360"/>
      </w:pPr>
      <w:rPr>
        <w:rFonts w:ascii="Times New Roman" w:hAnsi="Times New Roman" w:hint="default"/>
      </w:rPr>
    </w:lvl>
    <w:lvl w:ilvl="5" w:tplc="B8B21984" w:tentative="1">
      <w:start w:val="1"/>
      <w:numFmt w:val="bullet"/>
      <w:lvlText w:val="•"/>
      <w:lvlJc w:val="left"/>
      <w:pPr>
        <w:tabs>
          <w:tab w:val="num" w:pos="4320"/>
        </w:tabs>
        <w:ind w:left="4320" w:hanging="360"/>
      </w:pPr>
      <w:rPr>
        <w:rFonts w:ascii="Times New Roman" w:hAnsi="Times New Roman" w:hint="default"/>
      </w:rPr>
    </w:lvl>
    <w:lvl w:ilvl="6" w:tplc="1F8CC73C" w:tentative="1">
      <w:start w:val="1"/>
      <w:numFmt w:val="bullet"/>
      <w:lvlText w:val="•"/>
      <w:lvlJc w:val="left"/>
      <w:pPr>
        <w:tabs>
          <w:tab w:val="num" w:pos="5040"/>
        </w:tabs>
        <w:ind w:left="5040" w:hanging="360"/>
      </w:pPr>
      <w:rPr>
        <w:rFonts w:ascii="Times New Roman" w:hAnsi="Times New Roman" w:hint="default"/>
      </w:rPr>
    </w:lvl>
    <w:lvl w:ilvl="7" w:tplc="FB66387A" w:tentative="1">
      <w:start w:val="1"/>
      <w:numFmt w:val="bullet"/>
      <w:lvlText w:val="•"/>
      <w:lvlJc w:val="left"/>
      <w:pPr>
        <w:tabs>
          <w:tab w:val="num" w:pos="5760"/>
        </w:tabs>
        <w:ind w:left="5760" w:hanging="360"/>
      </w:pPr>
      <w:rPr>
        <w:rFonts w:ascii="Times New Roman" w:hAnsi="Times New Roman" w:hint="default"/>
      </w:rPr>
    </w:lvl>
    <w:lvl w:ilvl="8" w:tplc="FFD63C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5E05BC"/>
    <w:multiLevelType w:val="hybridMultilevel"/>
    <w:tmpl w:val="797E5F64"/>
    <w:lvl w:ilvl="0" w:tplc="7A2F7404">
      <w:numFmt w:val="bullet"/>
      <w:lvlText w:val="·"/>
      <w:lvlJc w:val="left"/>
      <w:pPr>
        <w:ind w:left="720" w:hanging="360"/>
      </w:pPr>
      <w:rPr>
        <w:rFonts w:ascii="Symbol" w:hAnsi="Symbol"/>
        <w:b/>
        <w:snapToGrid/>
        <w:w w:val="105"/>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037DBE"/>
    <w:multiLevelType w:val="hybridMultilevel"/>
    <w:tmpl w:val="77FA2D4C"/>
    <w:lvl w:ilvl="0" w:tplc="392EEF08">
      <w:start w:val="1"/>
      <w:numFmt w:val="bullet"/>
      <w:lvlText w:val=""/>
      <w:lvlJc w:val="left"/>
      <w:pPr>
        <w:ind w:left="720" w:hanging="360"/>
      </w:pPr>
      <w:rPr>
        <w:rFonts w:ascii="Symbol" w:hAnsi="Symbol" w:hint="default"/>
        <w:color w:val="A6CE3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F46E06"/>
    <w:multiLevelType w:val="hybridMultilevel"/>
    <w:tmpl w:val="362C92E2"/>
    <w:lvl w:ilvl="0" w:tplc="392EEF08">
      <w:start w:val="1"/>
      <w:numFmt w:val="bullet"/>
      <w:lvlText w:val=""/>
      <w:lvlJc w:val="left"/>
      <w:pPr>
        <w:ind w:left="720" w:hanging="360"/>
      </w:pPr>
      <w:rPr>
        <w:rFonts w:ascii="Symbol" w:hAnsi="Symbol" w:hint="default"/>
        <w:color w:val="A6CE3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F5297E"/>
    <w:multiLevelType w:val="hybridMultilevel"/>
    <w:tmpl w:val="08784B0E"/>
    <w:lvl w:ilvl="0" w:tplc="739EFD46">
      <w:numFmt w:val="bullet"/>
      <w:lvlText w:val="·"/>
      <w:lvlJc w:val="left"/>
      <w:pPr>
        <w:ind w:left="720" w:hanging="360"/>
      </w:pPr>
      <w:rPr>
        <w:rFonts w:ascii="Symbol" w:hAnsi="Symbol" w:hint="default"/>
        <w:b/>
        <w:snapToGrid/>
        <w:color w:val="92D050"/>
        <w:w w:val="105"/>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A35B4B"/>
    <w:multiLevelType w:val="hybridMultilevel"/>
    <w:tmpl w:val="1A74482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12"/>
  </w:num>
  <w:num w:numId="2">
    <w:abstractNumId w:val="2"/>
  </w:num>
  <w:num w:numId="3">
    <w:abstractNumId w:val="7"/>
  </w:num>
  <w:num w:numId="4">
    <w:abstractNumId w:val="6"/>
  </w:num>
  <w:num w:numId="5">
    <w:abstractNumId w:val="4"/>
  </w:num>
  <w:num w:numId="6">
    <w:abstractNumId w:val="8"/>
  </w:num>
  <w:num w:numId="7">
    <w:abstractNumId w:val="11"/>
  </w:num>
  <w:num w:numId="8">
    <w:abstractNumId w:val="1"/>
  </w:num>
  <w:num w:numId="9">
    <w:abstractNumId w:val="10"/>
  </w:num>
  <w:num w:numId="10">
    <w:abstractNumId w:val="5"/>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10"/>
    <w:rsid w:val="00021F9E"/>
    <w:rsid w:val="00024C74"/>
    <w:rsid w:val="00037410"/>
    <w:rsid w:val="0005679F"/>
    <w:rsid w:val="00065682"/>
    <w:rsid w:val="00067F8D"/>
    <w:rsid w:val="000E4523"/>
    <w:rsid w:val="000F3BD7"/>
    <w:rsid w:val="00136A1B"/>
    <w:rsid w:val="00144BB0"/>
    <w:rsid w:val="001A2129"/>
    <w:rsid w:val="001F5682"/>
    <w:rsid w:val="002024D5"/>
    <w:rsid w:val="00211FEB"/>
    <w:rsid w:val="00225D79"/>
    <w:rsid w:val="00247E6F"/>
    <w:rsid w:val="00261A15"/>
    <w:rsid w:val="0029250B"/>
    <w:rsid w:val="002A5D9D"/>
    <w:rsid w:val="002D62F4"/>
    <w:rsid w:val="00307FAB"/>
    <w:rsid w:val="00337D21"/>
    <w:rsid w:val="00360F38"/>
    <w:rsid w:val="003627E3"/>
    <w:rsid w:val="003927F2"/>
    <w:rsid w:val="003D5AFB"/>
    <w:rsid w:val="003E7525"/>
    <w:rsid w:val="004764A3"/>
    <w:rsid w:val="004C2E36"/>
    <w:rsid w:val="004D6CA3"/>
    <w:rsid w:val="004E61E7"/>
    <w:rsid w:val="00512980"/>
    <w:rsid w:val="00524E07"/>
    <w:rsid w:val="00527734"/>
    <w:rsid w:val="00557DAA"/>
    <w:rsid w:val="00576C3D"/>
    <w:rsid w:val="005C5215"/>
    <w:rsid w:val="006016D3"/>
    <w:rsid w:val="00655FC3"/>
    <w:rsid w:val="00663C99"/>
    <w:rsid w:val="006D7435"/>
    <w:rsid w:val="006E134A"/>
    <w:rsid w:val="00726405"/>
    <w:rsid w:val="007662C7"/>
    <w:rsid w:val="0079288B"/>
    <w:rsid w:val="009838BB"/>
    <w:rsid w:val="009B36B4"/>
    <w:rsid w:val="009C4F35"/>
    <w:rsid w:val="009E03EF"/>
    <w:rsid w:val="00A26022"/>
    <w:rsid w:val="00A278A4"/>
    <w:rsid w:val="00A34102"/>
    <w:rsid w:val="00AB58DA"/>
    <w:rsid w:val="00AE45DF"/>
    <w:rsid w:val="00B14882"/>
    <w:rsid w:val="00B35273"/>
    <w:rsid w:val="00B55110"/>
    <w:rsid w:val="00BD2354"/>
    <w:rsid w:val="00BF43ED"/>
    <w:rsid w:val="00C55B14"/>
    <w:rsid w:val="00C96045"/>
    <w:rsid w:val="00CA31A1"/>
    <w:rsid w:val="00CB2255"/>
    <w:rsid w:val="00CB652A"/>
    <w:rsid w:val="00CD412C"/>
    <w:rsid w:val="00CD5C3F"/>
    <w:rsid w:val="00CD6377"/>
    <w:rsid w:val="00CE65B2"/>
    <w:rsid w:val="00DB18FE"/>
    <w:rsid w:val="00DD6723"/>
    <w:rsid w:val="00DE65F0"/>
    <w:rsid w:val="00DF609E"/>
    <w:rsid w:val="00E021CC"/>
    <w:rsid w:val="00E550B9"/>
    <w:rsid w:val="00EB4B99"/>
    <w:rsid w:val="00EE1323"/>
    <w:rsid w:val="00EF1477"/>
    <w:rsid w:val="00F305AC"/>
    <w:rsid w:val="00F37AB1"/>
    <w:rsid w:val="00F72B69"/>
    <w:rsid w:val="00F81E29"/>
    <w:rsid w:val="00FB35B2"/>
    <w:rsid w:val="00FD5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5CFE7-4B89-4060-856B-53DFE7B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34"/>
    <w:rPr>
      <w:rFonts w:ascii="Calibri" w:eastAsia="Calibri" w:hAnsi="Calibri" w:cs="Times New Roman"/>
    </w:rPr>
  </w:style>
  <w:style w:type="paragraph" w:styleId="Titre1">
    <w:name w:val="heading 1"/>
    <w:basedOn w:val="Normal"/>
    <w:next w:val="Normal"/>
    <w:link w:val="Titre1Car"/>
    <w:uiPriority w:val="9"/>
    <w:qFormat/>
    <w:rsid w:val="002D62F4"/>
    <w:pPr>
      <w:keepNext/>
      <w:keepLines/>
      <w:spacing w:before="240" w:after="0"/>
      <w:jc w:val="both"/>
      <w:outlineLvl w:val="0"/>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734"/>
    <w:pPr>
      <w:spacing w:after="0" w:line="240" w:lineRule="auto"/>
      <w:ind w:left="720"/>
      <w:contextualSpacing/>
    </w:pPr>
    <w:rPr>
      <w:rFonts w:ascii="Times New Roman" w:eastAsia="Times New Roman" w:hAnsi="Times New Roman"/>
      <w:sz w:val="24"/>
      <w:szCs w:val="24"/>
      <w:lang w:eastAsia="fr-FR"/>
    </w:rPr>
  </w:style>
  <w:style w:type="paragraph" w:styleId="Titre">
    <w:name w:val="Title"/>
    <w:basedOn w:val="Normal"/>
    <w:next w:val="Normal"/>
    <w:link w:val="TitreCar"/>
    <w:uiPriority w:val="10"/>
    <w:qFormat/>
    <w:rsid w:val="00527734"/>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basedOn w:val="Policepardfaut"/>
    <w:link w:val="Titre"/>
    <w:uiPriority w:val="10"/>
    <w:rsid w:val="00527734"/>
    <w:rPr>
      <w:rFonts w:ascii="Calibri Light" w:eastAsia="Times New Roman" w:hAnsi="Calibri Light" w:cs="Times New Roman"/>
      <w:b/>
      <w:bCs/>
      <w:kern w:val="28"/>
      <w:sz w:val="32"/>
      <w:szCs w:val="32"/>
    </w:rPr>
  </w:style>
  <w:style w:type="paragraph" w:styleId="En-tte">
    <w:name w:val="header"/>
    <w:basedOn w:val="Normal"/>
    <w:link w:val="En-tteCar"/>
    <w:uiPriority w:val="99"/>
    <w:unhideWhenUsed/>
    <w:rsid w:val="00247E6F"/>
    <w:pPr>
      <w:tabs>
        <w:tab w:val="center" w:pos="4536"/>
        <w:tab w:val="right" w:pos="9072"/>
      </w:tabs>
      <w:spacing w:after="0" w:line="240" w:lineRule="auto"/>
    </w:pPr>
  </w:style>
  <w:style w:type="character" w:customStyle="1" w:styleId="En-tteCar">
    <w:name w:val="En-tête Car"/>
    <w:basedOn w:val="Policepardfaut"/>
    <w:link w:val="En-tte"/>
    <w:uiPriority w:val="99"/>
    <w:rsid w:val="00247E6F"/>
    <w:rPr>
      <w:rFonts w:ascii="Calibri" w:eastAsia="Calibri" w:hAnsi="Calibri" w:cs="Times New Roman"/>
    </w:rPr>
  </w:style>
  <w:style w:type="paragraph" w:styleId="Pieddepage">
    <w:name w:val="footer"/>
    <w:basedOn w:val="Normal"/>
    <w:link w:val="PieddepageCar"/>
    <w:uiPriority w:val="99"/>
    <w:unhideWhenUsed/>
    <w:rsid w:val="00247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E6F"/>
    <w:rPr>
      <w:rFonts w:ascii="Calibri" w:eastAsia="Calibri" w:hAnsi="Calibri" w:cs="Times New Roman"/>
    </w:rPr>
  </w:style>
  <w:style w:type="paragraph" w:styleId="Sansinterligne">
    <w:name w:val="No Spacing"/>
    <w:uiPriority w:val="1"/>
    <w:qFormat/>
    <w:rsid w:val="006D7435"/>
    <w:pPr>
      <w:spacing w:after="0" w:line="240" w:lineRule="auto"/>
    </w:pPr>
    <w:rPr>
      <w:rFonts w:ascii="Calibri" w:eastAsia="Calibri" w:hAnsi="Calibri" w:cs="Times New Roman"/>
    </w:rPr>
  </w:style>
  <w:style w:type="paragraph" w:styleId="Notedebasdepage">
    <w:name w:val="footnote text"/>
    <w:basedOn w:val="Normal"/>
    <w:link w:val="NotedebasdepageCar"/>
    <w:uiPriority w:val="99"/>
    <w:semiHidden/>
    <w:unhideWhenUsed/>
    <w:rsid w:val="006D74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7435"/>
    <w:rPr>
      <w:rFonts w:ascii="Calibri" w:eastAsia="Calibri" w:hAnsi="Calibri" w:cs="Times New Roman"/>
      <w:sz w:val="20"/>
      <w:szCs w:val="20"/>
    </w:rPr>
  </w:style>
  <w:style w:type="character" w:styleId="Appelnotedebasdep">
    <w:name w:val="footnote reference"/>
    <w:basedOn w:val="Policepardfaut"/>
    <w:uiPriority w:val="99"/>
    <w:semiHidden/>
    <w:unhideWhenUsed/>
    <w:rsid w:val="006D7435"/>
    <w:rPr>
      <w:vertAlign w:val="superscript"/>
    </w:rPr>
  </w:style>
  <w:style w:type="character" w:customStyle="1" w:styleId="Titre1Car">
    <w:name w:val="Titre 1 Car"/>
    <w:basedOn w:val="Policepardfaut"/>
    <w:link w:val="Titre1"/>
    <w:uiPriority w:val="9"/>
    <w:rsid w:val="002D62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04998">
      <w:bodyDiv w:val="1"/>
      <w:marLeft w:val="0"/>
      <w:marRight w:val="0"/>
      <w:marTop w:val="0"/>
      <w:marBottom w:val="0"/>
      <w:divBdr>
        <w:top w:val="none" w:sz="0" w:space="0" w:color="auto"/>
        <w:left w:val="none" w:sz="0" w:space="0" w:color="auto"/>
        <w:bottom w:val="none" w:sz="0" w:space="0" w:color="auto"/>
        <w:right w:val="none" w:sz="0" w:space="0" w:color="auto"/>
      </w:divBdr>
    </w:div>
    <w:div w:id="802969476">
      <w:bodyDiv w:val="1"/>
      <w:marLeft w:val="0"/>
      <w:marRight w:val="0"/>
      <w:marTop w:val="0"/>
      <w:marBottom w:val="0"/>
      <w:divBdr>
        <w:top w:val="none" w:sz="0" w:space="0" w:color="auto"/>
        <w:left w:val="none" w:sz="0" w:space="0" w:color="auto"/>
        <w:bottom w:val="none" w:sz="0" w:space="0" w:color="auto"/>
        <w:right w:val="none" w:sz="0" w:space="0" w:color="auto"/>
      </w:divBdr>
    </w:div>
    <w:div w:id="1328292466">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6">
          <w:marLeft w:val="547"/>
          <w:marRight w:val="0"/>
          <w:marTop w:val="0"/>
          <w:marBottom w:val="0"/>
          <w:divBdr>
            <w:top w:val="none" w:sz="0" w:space="0" w:color="auto"/>
            <w:left w:val="none" w:sz="0" w:space="0" w:color="auto"/>
            <w:bottom w:val="none" w:sz="0" w:space="0" w:color="auto"/>
            <w:right w:val="none" w:sz="0" w:space="0" w:color="auto"/>
          </w:divBdr>
        </w:div>
      </w:divsChild>
    </w:div>
    <w:div w:id="17732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1A4D-AE86-4BAA-A311-1584E3CC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meon</dc:creator>
  <cp:keywords/>
  <dc:description/>
  <cp:lastModifiedBy>céline foucher</cp:lastModifiedBy>
  <cp:revision>2</cp:revision>
  <cp:lastPrinted>2016-07-26T15:03:00Z</cp:lastPrinted>
  <dcterms:created xsi:type="dcterms:W3CDTF">2019-03-19T14:08:00Z</dcterms:created>
  <dcterms:modified xsi:type="dcterms:W3CDTF">2019-03-19T14:08:00Z</dcterms:modified>
</cp:coreProperties>
</file>